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46" w:rsidRDefault="00D04446" w:rsidP="00D0444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D04446"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 w:rsidR="001E12CE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03A24" w:rsidRPr="001E12CE" w:rsidRDefault="00C03A24" w:rsidP="00D0444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1730" w:rsidRDefault="00FB1FA5" w:rsidP="00EA473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广东省交易</w:t>
      </w:r>
      <w:r w:rsidR="008C5451">
        <w:rPr>
          <w:rFonts w:ascii="方正小标宋简体" w:eastAsia="方正小标宋简体" w:hAnsi="方正小标宋简体" w:cs="方正小标宋简体" w:hint="eastAsia"/>
          <w:sz w:val="44"/>
          <w:szCs w:val="52"/>
        </w:rPr>
        <w:t>控股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集团有限公司简介</w:t>
      </w:r>
    </w:p>
    <w:p w:rsidR="007F1730" w:rsidRDefault="007F1730" w:rsidP="00EA4732">
      <w:pPr>
        <w:spacing w:line="600" w:lineRule="exact"/>
      </w:pPr>
    </w:p>
    <w:p w:rsidR="004D05F9" w:rsidRDefault="004D05F9" w:rsidP="004D05F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广东省交易控股集团有限公司（简称“交易控股集团”</w:t>
      </w:r>
      <w:r w:rsidR="00AD0AC0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AD0AC0">
        <w:rPr>
          <w:rFonts w:ascii="仿宋_GB2312" w:eastAsia="仿宋_GB2312" w:hAnsi="仿宋_GB2312" w:cs="仿宋_GB2312"/>
          <w:sz w:val="32"/>
          <w:szCs w:val="32"/>
        </w:rPr>
        <w:t>“</w:t>
      </w:r>
      <w:r w:rsidR="00AD0AC0">
        <w:rPr>
          <w:rFonts w:ascii="仿宋_GB2312" w:eastAsia="仿宋_GB2312" w:hAnsi="仿宋_GB2312" w:cs="仿宋_GB2312" w:hint="eastAsia"/>
          <w:sz w:val="32"/>
          <w:szCs w:val="32"/>
        </w:rPr>
        <w:t>集团</w:t>
      </w:r>
      <w:bookmarkStart w:id="0" w:name="_GoBack"/>
      <w:bookmarkEnd w:id="0"/>
      <w:r w:rsidR="00AD0AC0"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）于2018年9月经广东省人民政府批准同意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从</w:t>
      </w:r>
      <w:r>
        <w:rPr>
          <w:rFonts w:ascii="仿宋_GB2312" w:eastAsia="仿宋_GB2312" w:hAnsi="仿宋_GB2312" w:cs="仿宋_GB2312"/>
          <w:sz w:val="32"/>
          <w:szCs w:val="32"/>
        </w:rPr>
        <w:t>广东省产权交易集团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</w:t>
      </w:r>
      <w:r>
        <w:rPr>
          <w:rFonts w:ascii="仿宋_GB2312" w:eastAsia="仿宋_GB2312" w:hAnsi="仿宋_GB2312" w:cs="仿宋_GB2312"/>
          <w:sz w:val="32"/>
          <w:szCs w:val="32"/>
        </w:rPr>
        <w:t>公司更名</w:t>
      </w:r>
      <w:r>
        <w:rPr>
          <w:rFonts w:ascii="仿宋_GB2312" w:eastAsia="仿宋_GB2312" w:hAnsi="仿宋_GB2312" w:cs="仿宋_GB2312" w:hint="eastAsia"/>
          <w:sz w:val="32"/>
          <w:szCs w:val="32"/>
        </w:rPr>
        <w:t>而</w:t>
      </w:r>
      <w:r>
        <w:rPr>
          <w:rFonts w:ascii="仿宋_GB2312" w:eastAsia="仿宋_GB2312" w:hAnsi="仿宋_GB2312" w:cs="仿宋_GB2312"/>
          <w:sz w:val="32"/>
          <w:szCs w:val="32"/>
        </w:rPr>
        <w:t>来，</w:t>
      </w:r>
      <w:r>
        <w:rPr>
          <w:rFonts w:ascii="仿宋_GB2312" w:eastAsia="仿宋_GB2312" w:hAnsi="仿宋_GB2312" w:cs="仿宋_GB2312" w:hint="eastAsia"/>
          <w:sz w:val="32"/>
          <w:szCs w:val="32"/>
        </w:rPr>
        <w:t>是广东省国资委全资设立的大型综合交易和交易服务企业。</w:t>
      </w:r>
    </w:p>
    <w:p w:rsidR="00276FFD" w:rsidRDefault="00C663F0" w:rsidP="00276FF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交易</w:t>
      </w:r>
      <w:r>
        <w:rPr>
          <w:rFonts w:ascii="仿宋_GB2312" w:eastAsia="仿宋_GB2312" w:hAnsi="仿宋_GB2312" w:cs="仿宋_GB2312"/>
          <w:sz w:val="32"/>
          <w:szCs w:val="32"/>
        </w:rPr>
        <w:t>控股</w:t>
      </w:r>
      <w:r w:rsidR="00D77E09"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建设了涵盖“要素与商品交易业、金融与其他交易配套服务业、相关数据与信息服务业”等三大主业，包括产股权、知识产权、金融资产、</w:t>
      </w:r>
      <w:r w:rsidR="00F335A2">
        <w:rPr>
          <w:rFonts w:ascii="仿宋_GB2312" w:eastAsia="仿宋_GB2312" w:hAnsi="仿宋_GB2312" w:cs="仿宋_GB2312" w:hint="eastAsia"/>
          <w:sz w:val="32"/>
          <w:szCs w:val="32"/>
        </w:rPr>
        <w:t>药品、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水权、排污权、珠宝玉石、钻石交易等在内的</w:t>
      </w:r>
      <w:r w:rsidR="008C5451">
        <w:rPr>
          <w:rFonts w:ascii="仿宋_GB2312" w:eastAsia="仿宋_GB2312" w:hAnsi="仿宋_GB2312" w:cs="仿宋_GB2312"/>
          <w:sz w:val="32"/>
          <w:szCs w:val="32"/>
        </w:rPr>
        <w:t>18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个平台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A5DDB" w:rsidRPr="009A5DDB">
        <w:rPr>
          <w:rFonts w:ascii="仿宋_GB2312" w:eastAsia="仿宋_GB2312" w:hAnsi="仿宋_GB2312" w:cs="仿宋_GB2312" w:hint="eastAsia"/>
          <w:sz w:val="32"/>
          <w:szCs w:val="32"/>
        </w:rPr>
        <w:t>拥有国有（集体）产权交易资格、全省国有资产司法委托（涉诉资产）交易资格、全省唯一的金融企业国有资产交易资格、全省非上市股权交易资格、全省股权托管资格、全省唯一的第三方药品电子交易资格、央企资产转让交易资格、金融资产交易资格、全国钻石（毛坯钻石加工贸易、保税贸易和工业毛坯钻石一般贸易）交易资格等资质</w:t>
      </w:r>
      <w:r w:rsidR="009A5DDB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229E8" w:rsidRPr="007229E8">
        <w:rPr>
          <w:rFonts w:ascii="仿宋_GB2312" w:eastAsia="仿宋_GB2312" w:hAnsi="仿宋_GB2312" w:cs="仿宋_GB2312" w:hint="eastAsia"/>
          <w:sz w:val="32"/>
          <w:szCs w:val="32"/>
        </w:rPr>
        <w:t>自</w:t>
      </w:r>
      <w:r w:rsidR="007229E8">
        <w:rPr>
          <w:rFonts w:ascii="仿宋_GB2312" w:eastAsia="仿宋_GB2312" w:hAnsi="仿宋_GB2312" w:cs="仿宋_GB2312" w:hint="eastAsia"/>
          <w:sz w:val="32"/>
          <w:szCs w:val="32"/>
        </w:rPr>
        <w:t>2013年</w:t>
      </w:r>
      <w:r w:rsidR="007229E8" w:rsidRPr="007229E8">
        <w:rPr>
          <w:rFonts w:ascii="仿宋_GB2312" w:eastAsia="仿宋_GB2312" w:hAnsi="仿宋_GB2312" w:cs="仿宋_GB2312" w:hint="eastAsia"/>
          <w:sz w:val="32"/>
          <w:szCs w:val="32"/>
        </w:rPr>
        <w:t>成立</w:t>
      </w:r>
      <w:r w:rsidR="007229E8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="007229E8" w:rsidRPr="007229E8">
        <w:rPr>
          <w:rFonts w:ascii="仿宋_GB2312" w:eastAsia="仿宋_GB2312" w:hAnsi="仿宋_GB2312" w:cs="仿宋_GB2312" w:hint="eastAsia"/>
          <w:sz w:val="32"/>
          <w:szCs w:val="32"/>
        </w:rPr>
        <w:t>来，集团累计成交额4.28万亿元，其中2013-2017年成交总金额3.53万亿元</w:t>
      </w:r>
      <w:r w:rsidR="004A22C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2016</w:t>
      </w:r>
      <w:r w:rsidR="00A34EC8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2017年，连续两年成为全国仅有的两家年交易金额</w:t>
      </w:r>
      <w:r w:rsidR="003B177F">
        <w:rPr>
          <w:rFonts w:ascii="仿宋_GB2312" w:eastAsia="仿宋_GB2312" w:hAnsi="仿宋_GB2312" w:cs="仿宋_GB2312" w:hint="eastAsia"/>
          <w:sz w:val="32"/>
          <w:szCs w:val="32"/>
        </w:rPr>
        <w:t>超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过万亿元的产权交易机构之一</w:t>
      </w:r>
      <w:r w:rsidR="00D1301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1301F">
        <w:rPr>
          <w:rFonts w:ascii="仿宋_GB2312" w:eastAsia="仿宋_GB2312" w:hAnsi="仿宋_GB2312" w:cs="仿宋_GB2312"/>
          <w:sz w:val="32"/>
          <w:szCs w:val="32"/>
        </w:rPr>
        <w:t>综合</w:t>
      </w:r>
      <w:r w:rsidR="00D1301F">
        <w:rPr>
          <w:rFonts w:ascii="仿宋_GB2312" w:eastAsia="仿宋_GB2312" w:hAnsi="仿宋_GB2312" w:cs="仿宋_GB2312" w:hint="eastAsia"/>
          <w:sz w:val="32"/>
          <w:szCs w:val="32"/>
        </w:rPr>
        <w:t>实</w:t>
      </w:r>
      <w:r w:rsidR="00D1301F">
        <w:rPr>
          <w:rFonts w:ascii="仿宋_GB2312" w:eastAsia="仿宋_GB2312" w:hAnsi="仿宋_GB2312" w:cs="仿宋_GB2312"/>
          <w:sz w:val="32"/>
          <w:szCs w:val="32"/>
        </w:rPr>
        <w:t>力位居</w:t>
      </w:r>
      <w:r w:rsidR="00D1301F">
        <w:rPr>
          <w:rFonts w:ascii="仿宋_GB2312" w:eastAsia="仿宋_GB2312" w:hAnsi="仿宋_GB2312" w:cs="仿宋_GB2312" w:hint="eastAsia"/>
          <w:sz w:val="32"/>
          <w:szCs w:val="32"/>
        </w:rPr>
        <w:t>全</w:t>
      </w:r>
      <w:r w:rsidR="00D1301F">
        <w:rPr>
          <w:rFonts w:ascii="仿宋_GB2312" w:eastAsia="仿宋_GB2312" w:hAnsi="仿宋_GB2312" w:cs="仿宋_GB2312"/>
          <w:sz w:val="32"/>
          <w:szCs w:val="32"/>
        </w:rPr>
        <w:t>国同行业前列</w:t>
      </w:r>
      <w:r w:rsidR="00D1301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021D8" w:rsidRDefault="005021D8" w:rsidP="005021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>
        <w:rPr>
          <w:rFonts w:ascii="仿宋_GB2312" w:eastAsia="仿宋_GB2312" w:hAnsi="仿宋_GB2312" w:cs="仿宋_GB2312"/>
          <w:sz w:val="32"/>
          <w:szCs w:val="32"/>
        </w:rPr>
        <w:t>坚持改革创新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，成为</w:t>
      </w:r>
      <w:r>
        <w:rPr>
          <w:rFonts w:ascii="仿宋_GB2312" w:eastAsia="仿宋_GB2312" w:hAnsi="仿宋_GB2312" w:cs="仿宋_GB2312"/>
          <w:sz w:val="32"/>
          <w:szCs w:val="32"/>
        </w:rPr>
        <w:t>多项</w:t>
      </w:r>
      <w:r w:rsidR="00C24410">
        <w:rPr>
          <w:rFonts w:ascii="仿宋_GB2312" w:eastAsia="仿宋_GB2312" w:hAnsi="仿宋_GB2312" w:cs="仿宋_GB2312" w:hint="eastAsia"/>
          <w:sz w:val="32"/>
          <w:szCs w:val="32"/>
        </w:rPr>
        <w:t>重点工作</w:t>
      </w:r>
      <w:r>
        <w:rPr>
          <w:rFonts w:ascii="仿宋_GB2312" w:eastAsia="仿宋_GB2312" w:hAnsi="仿宋_GB2312" w:cs="仿宋_GB2312"/>
          <w:sz w:val="32"/>
          <w:szCs w:val="32"/>
        </w:rPr>
        <w:t>试点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 w:rsidR="00727946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276FF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广东省委</w:t>
      </w:r>
      <w:r w:rsidR="00FE48FC">
        <w:rPr>
          <w:rFonts w:ascii="仿宋_GB2312" w:eastAsia="仿宋_GB2312" w:hAnsi="仿宋_GB2312" w:cs="仿宋_GB2312"/>
          <w:sz w:val="32"/>
          <w:szCs w:val="32"/>
        </w:rPr>
        <w:t>省政府</w:t>
      </w:r>
      <w:r w:rsidR="00FE48FC">
        <w:rPr>
          <w:rFonts w:ascii="仿宋_GB2312" w:eastAsia="仿宋_GB2312" w:hAnsi="仿宋_GB2312" w:cs="仿宋_GB2312" w:hint="eastAsia"/>
          <w:sz w:val="32"/>
          <w:szCs w:val="32"/>
        </w:rPr>
        <w:t>关于深化国有企业改革的指导意见，交易控股集团于2015年率先在全国省属一级企业推开完全市场化选聘集团经</w:t>
      </w:r>
      <w:r w:rsidR="00C24410">
        <w:rPr>
          <w:rFonts w:ascii="仿宋_GB2312" w:eastAsia="仿宋_GB2312" w:hAnsi="仿宋_GB2312" w:cs="仿宋_GB2312" w:hint="eastAsia"/>
          <w:sz w:val="32"/>
          <w:szCs w:val="32"/>
        </w:rPr>
        <w:t>营</w:t>
      </w:r>
      <w:r w:rsidR="00FE48FC">
        <w:rPr>
          <w:rFonts w:ascii="仿宋_GB2312" w:eastAsia="仿宋_GB2312" w:hAnsi="仿宋_GB2312" w:cs="仿宋_GB2312" w:hint="eastAsia"/>
          <w:sz w:val="32"/>
          <w:szCs w:val="32"/>
        </w:rPr>
        <w:t>班子、以董事会为主考核经</w:t>
      </w:r>
      <w:r w:rsidR="00C24410">
        <w:rPr>
          <w:rFonts w:ascii="仿宋_GB2312" w:eastAsia="仿宋_GB2312" w:hAnsi="仿宋_GB2312" w:cs="仿宋_GB2312" w:hint="eastAsia"/>
          <w:sz w:val="32"/>
          <w:szCs w:val="32"/>
        </w:rPr>
        <w:t>营</w:t>
      </w:r>
      <w:r w:rsidR="00FE48FC">
        <w:rPr>
          <w:rFonts w:ascii="仿宋_GB2312" w:eastAsia="仿宋_GB2312" w:hAnsi="仿宋_GB2312" w:cs="仿宋_GB2312" w:hint="eastAsia"/>
          <w:sz w:val="32"/>
          <w:szCs w:val="32"/>
        </w:rPr>
        <w:t>班子的试点。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经</w:t>
      </w:r>
      <w:r w:rsidR="00A34EC8">
        <w:rPr>
          <w:rFonts w:ascii="仿宋_GB2312" w:eastAsia="仿宋_GB2312" w:hAnsi="仿宋_GB2312" w:cs="仿宋_GB2312" w:hint="eastAsia"/>
          <w:sz w:val="32"/>
          <w:szCs w:val="32"/>
        </w:rPr>
        <w:t>广东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省</w:t>
      </w:r>
      <w:r w:rsidR="00A34EC8">
        <w:rPr>
          <w:rFonts w:ascii="仿宋_GB2312" w:eastAsia="仿宋_GB2312" w:hAnsi="仿宋_GB2312" w:cs="仿宋_GB2312" w:hint="eastAsia"/>
          <w:sz w:val="32"/>
          <w:szCs w:val="32"/>
        </w:rPr>
        <w:t>人民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政府批准，</w:t>
      </w:r>
      <w:r w:rsidR="00D77E09"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成为全国同行业首家启动整体上市的产权交易机构，并被</w:t>
      </w:r>
      <w:r w:rsidR="00A34EC8">
        <w:rPr>
          <w:rFonts w:ascii="仿宋_GB2312" w:eastAsia="仿宋_GB2312" w:hAnsi="仿宋_GB2312" w:cs="仿宋_GB2312" w:hint="eastAsia"/>
          <w:sz w:val="32"/>
          <w:szCs w:val="32"/>
        </w:rPr>
        <w:t>广东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省国资委列为省属一级企业股份制改革试点</w:t>
      </w:r>
      <w:r w:rsidR="00727946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。2018年8月，</w:t>
      </w:r>
      <w:r w:rsidR="00D77E09">
        <w:rPr>
          <w:rFonts w:ascii="仿宋_GB2312" w:eastAsia="仿宋_GB2312" w:hAnsi="仿宋_GB2312" w:cs="仿宋_GB2312" w:hint="eastAsia"/>
          <w:sz w:val="32"/>
          <w:szCs w:val="32"/>
        </w:rPr>
        <w:t>集团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入选</w:t>
      </w:r>
      <w:r w:rsidR="007229E8">
        <w:rPr>
          <w:rFonts w:ascii="仿宋_GB2312" w:eastAsia="仿宋_GB2312" w:hAnsi="仿宋_GB2312" w:cs="仿宋_GB2312" w:hint="eastAsia"/>
          <w:sz w:val="32"/>
          <w:szCs w:val="32"/>
        </w:rPr>
        <w:t>全</w:t>
      </w:r>
      <w:r w:rsidR="007229E8">
        <w:rPr>
          <w:rFonts w:ascii="仿宋_GB2312" w:eastAsia="仿宋_GB2312" w:hAnsi="仿宋_GB2312" w:cs="仿宋_GB2312"/>
          <w:sz w:val="32"/>
          <w:szCs w:val="32"/>
        </w:rPr>
        <w:t>国</w:t>
      </w:r>
      <w:r w:rsidR="00FB1FA5">
        <w:rPr>
          <w:rFonts w:ascii="仿宋_GB2312" w:eastAsia="仿宋_GB2312" w:hAnsi="仿宋_GB2312" w:cs="仿宋_GB2312" w:hint="eastAsia"/>
          <w:sz w:val="32"/>
          <w:szCs w:val="32"/>
        </w:rPr>
        <w:t>国企改革“双百行动”企业名单。</w:t>
      </w:r>
    </w:p>
    <w:p w:rsidR="007F1730" w:rsidRPr="008C5451" w:rsidRDefault="004D05F9" w:rsidP="005021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新时代</w:t>
      </w:r>
      <w:r>
        <w:rPr>
          <w:rFonts w:ascii="仿宋_GB2312" w:eastAsia="仿宋_GB2312" w:hAnsi="仿宋_GB2312" w:cs="仿宋_GB2312"/>
          <w:sz w:val="32"/>
          <w:szCs w:val="32"/>
        </w:rPr>
        <w:t>新征程。</w:t>
      </w:r>
      <w:r w:rsidR="00C24410">
        <w:rPr>
          <w:rFonts w:ascii="仿宋_GB2312" w:eastAsia="仿宋_GB2312" w:hAnsi="仿宋_GB2312" w:cs="仿宋_GB2312" w:hint="eastAsia"/>
          <w:sz w:val="32"/>
          <w:szCs w:val="32"/>
        </w:rPr>
        <w:t>交易控股集团</w:t>
      </w:r>
      <w:r w:rsidR="005021D8">
        <w:rPr>
          <w:rFonts w:ascii="仿宋_GB2312" w:eastAsia="仿宋_GB2312" w:hAnsi="仿宋_GB2312" w:cs="仿宋_GB2312" w:hint="eastAsia"/>
          <w:sz w:val="32"/>
          <w:szCs w:val="32"/>
        </w:rPr>
        <w:t>正按照广东省委省政府、省国资委的部署</w:t>
      </w:r>
      <w:r w:rsidR="00C24410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276FFD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金控投资运营类</w:t>
      </w:r>
      <w:r w:rsidR="00276FFD"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企业</w:t>
      </w:r>
      <w:r w:rsidR="005021D8"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定位</w:t>
      </w:r>
      <w:r w:rsidR="005021D8"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，</w:t>
      </w:r>
      <w:r w:rsidR="004A22C4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 w:rsidR="004A22C4" w:rsidRPr="004A22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构建服务粤港澳大湾区战略的产权交易资本市场</w:t>
      </w:r>
      <w:r w:rsidR="00044F36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</w:t>
      </w:r>
      <w:r w:rsidR="004A22C4" w:rsidRPr="004A22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成为国家</w:t>
      </w:r>
      <w:r w:rsidR="004A22C4" w:rsidRPr="004A22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“</w:t>
      </w:r>
      <w:r w:rsidR="004A22C4" w:rsidRPr="004A22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北上广</w:t>
      </w:r>
      <w:r w:rsidR="004A22C4" w:rsidRPr="00EA4732">
        <w:rPr>
          <w:rFonts w:ascii="仿宋_GB2312" w:eastAsia="仿宋_GB2312" w:hAnsi="仿宋_GB2312" w:cs="仿宋_GB2312"/>
          <w:sz w:val="32"/>
          <w:szCs w:val="32"/>
        </w:rPr>
        <w:t>”产权交易资本市场</w:t>
      </w:r>
      <w:r w:rsidR="004A22C4" w:rsidRPr="00EA4732">
        <w:rPr>
          <w:rFonts w:ascii="仿宋_GB2312" w:eastAsia="仿宋_GB2312" w:hAnsi="仿宋_GB2312" w:cs="仿宋_GB2312" w:hint="eastAsia"/>
          <w:sz w:val="32"/>
          <w:szCs w:val="32"/>
        </w:rPr>
        <w:t>布局</w:t>
      </w:r>
      <w:r w:rsidR="004A22C4" w:rsidRPr="00EA4732">
        <w:rPr>
          <w:rFonts w:ascii="仿宋_GB2312" w:eastAsia="仿宋_GB2312" w:hAnsi="仿宋_GB2312" w:cs="仿宋_GB2312"/>
          <w:sz w:val="32"/>
          <w:szCs w:val="32"/>
        </w:rPr>
        <w:t>的</w:t>
      </w:r>
      <w:r w:rsidR="004A22C4" w:rsidRPr="004A22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重要一极，打造立足广东、服务全国、面向国际、符合现代经济体系要求</w:t>
      </w:r>
      <w:r w:rsidR="004A22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的要素资源市场化配置和交易平台，努力建设</w:t>
      </w:r>
      <w:r w:rsidR="004A22C4" w:rsidRPr="004A22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一流的交易控股集团。</w:t>
      </w:r>
    </w:p>
    <w:sectPr w:rsidR="007F1730" w:rsidRPr="008C5451" w:rsidSect="00A76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8C" w:rsidRDefault="003B2C8C" w:rsidP="00282640">
      <w:r>
        <w:separator/>
      </w:r>
    </w:p>
  </w:endnote>
  <w:endnote w:type="continuationSeparator" w:id="0">
    <w:p w:rsidR="003B2C8C" w:rsidRDefault="003B2C8C" w:rsidP="0028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8C" w:rsidRDefault="003B2C8C" w:rsidP="00282640">
      <w:r>
        <w:separator/>
      </w:r>
    </w:p>
  </w:footnote>
  <w:footnote w:type="continuationSeparator" w:id="0">
    <w:p w:rsidR="003B2C8C" w:rsidRDefault="003B2C8C" w:rsidP="0028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730"/>
    <w:rsid w:val="0000232D"/>
    <w:rsid w:val="00044F36"/>
    <w:rsid w:val="0005555B"/>
    <w:rsid w:val="001162B0"/>
    <w:rsid w:val="001D09AB"/>
    <w:rsid w:val="001E0F51"/>
    <w:rsid w:val="001E12CE"/>
    <w:rsid w:val="001F5356"/>
    <w:rsid w:val="00220538"/>
    <w:rsid w:val="00276FFD"/>
    <w:rsid w:val="00282640"/>
    <w:rsid w:val="00287B1E"/>
    <w:rsid w:val="002D6683"/>
    <w:rsid w:val="003022BD"/>
    <w:rsid w:val="00394163"/>
    <w:rsid w:val="003A64F9"/>
    <w:rsid w:val="003B177F"/>
    <w:rsid w:val="003B2C8C"/>
    <w:rsid w:val="00485591"/>
    <w:rsid w:val="004A22C4"/>
    <w:rsid w:val="004D05F9"/>
    <w:rsid w:val="005021D8"/>
    <w:rsid w:val="0065324E"/>
    <w:rsid w:val="00672987"/>
    <w:rsid w:val="007229E8"/>
    <w:rsid w:val="00727946"/>
    <w:rsid w:val="007368AE"/>
    <w:rsid w:val="00797969"/>
    <w:rsid w:val="007F1730"/>
    <w:rsid w:val="007F5914"/>
    <w:rsid w:val="00813F7F"/>
    <w:rsid w:val="00831519"/>
    <w:rsid w:val="00856347"/>
    <w:rsid w:val="008C5451"/>
    <w:rsid w:val="008E2919"/>
    <w:rsid w:val="008E2BF0"/>
    <w:rsid w:val="00997B4C"/>
    <w:rsid w:val="009A5DDB"/>
    <w:rsid w:val="00A21BBB"/>
    <w:rsid w:val="00A34EC8"/>
    <w:rsid w:val="00A76775"/>
    <w:rsid w:val="00AC57CC"/>
    <w:rsid w:val="00AD0AC0"/>
    <w:rsid w:val="00B817D3"/>
    <w:rsid w:val="00B970C0"/>
    <w:rsid w:val="00BD2197"/>
    <w:rsid w:val="00BE7F9B"/>
    <w:rsid w:val="00C03A24"/>
    <w:rsid w:val="00C24410"/>
    <w:rsid w:val="00C663F0"/>
    <w:rsid w:val="00C9420A"/>
    <w:rsid w:val="00CD6BCE"/>
    <w:rsid w:val="00CD7CEB"/>
    <w:rsid w:val="00D04446"/>
    <w:rsid w:val="00D1301F"/>
    <w:rsid w:val="00D77E09"/>
    <w:rsid w:val="00E513F8"/>
    <w:rsid w:val="00E57F8A"/>
    <w:rsid w:val="00EA4732"/>
    <w:rsid w:val="00EF6D17"/>
    <w:rsid w:val="00F335A2"/>
    <w:rsid w:val="00FB1FA5"/>
    <w:rsid w:val="00FE06BE"/>
    <w:rsid w:val="00FE48FC"/>
    <w:rsid w:val="5CB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D5D9B"/>
  <w15:docId w15:val="{C556B75E-2B49-46D9-8EDA-10B175B8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82640"/>
    <w:rPr>
      <w:kern w:val="2"/>
      <w:sz w:val="18"/>
      <w:szCs w:val="18"/>
    </w:rPr>
  </w:style>
  <w:style w:type="paragraph" w:styleId="a5">
    <w:name w:val="footer"/>
    <w:basedOn w:val="a"/>
    <w:link w:val="a6"/>
    <w:rsid w:val="0028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82640"/>
    <w:rPr>
      <w:kern w:val="2"/>
      <w:sz w:val="18"/>
      <w:szCs w:val="18"/>
    </w:rPr>
  </w:style>
  <w:style w:type="paragraph" w:styleId="a7">
    <w:name w:val="Balloon Text"/>
    <w:basedOn w:val="a"/>
    <w:link w:val="a8"/>
    <w:rsid w:val="007229E8"/>
    <w:rPr>
      <w:sz w:val="18"/>
      <w:szCs w:val="18"/>
    </w:rPr>
  </w:style>
  <w:style w:type="character" w:customStyle="1" w:styleId="a8">
    <w:name w:val="批注框文本 字符"/>
    <w:basedOn w:val="a0"/>
    <w:link w:val="a7"/>
    <w:rsid w:val="007229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122</Words>
  <Characters>700</Characters>
  <Application>Microsoft Office Word</Application>
  <DocSecurity>0</DocSecurity>
  <Lines>5</Lines>
  <Paragraphs>1</Paragraphs>
  <ScaleCrop>false</ScaleCrop>
  <Company>xjpc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曹福兴</cp:lastModifiedBy>
  <cp:revision>43</cp:revision>
  <cp:lastPrinted>2018-12-04T10:12:00Z</cp:lastPrinted>
  <dcterms:created xsi:type="dcterms:W3CDTF">2014-10-29T12:08:00Z</dcterms:created>
  <dcterms:modified xsi:type="dcterms:W3CDTF">2018-12-11T07:29:00Z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